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09" w:rsidRPr="009F10ED" w:rsidRDefault="00835209" w:rsidP="00835209">
      <w:pPr>
        <w:spacing w:after="0" w:line="240" w:lineRule="auto"/>
        <w:jc w:val="right"/>
        <w:rPr>
          <w:rFonts w:ascii="Bookman Old Style" w:hAnsi="Bookman Old Style" w:cstheme="majorHAnsi"/>
          <w:i/>
          <w:sz w:val="24"/>
          <w:szCs w:val="24"/>
        </w:rPr>
      </w:pPr>
      <w:r w:rsidRPr="009F10ED">
        <w:rPr>
          <w:rFonts w:ascii="Bookman Old Style" w:hAnsi="Bookman Old Style" w:cstheme="majorHAnsi"/>
          <w:i/>
          <w:sz w:val="24"/>
          <w:szCs w:val="24"/>
        </w:rPr>
        <w:t>Załącznik nr1</w:t>
      </w: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>Karta informacyjna</w:t>
      </w:r>
      <w:r w:rsidRPr="00330D72">
        <w:rPr>
          <w:rFonts w:ascii="Bookman Old Style" w:hAnsi="Bookman Old Style" w:cstheme="majorHAnsi"/>
          <w:b/>
          <w:sz w:val="24"/>
          <w:szCs w:val="24"/>
        </w:rPr>
        <w:br/>
        <w:t xml:space="preserve">Innowacji pedagogicznej przeprowadzonej </w:t>
      </w:r>
      <w:r w:rsidRPr="00330D72">
        <w:rPr>
          <w:rFonts w:ascii="Bookman Old Style" w:hAnsi="Bookman Old Style" w:cstheme="majorHAnsi"/>
          <w:b/>
          <w:sz w:val="24"/>
          <w:szCs w:val="24"/>
        </w:rPr>
        <w:br/>
        <w:t>w Szkole Podstawowej im. Ks. Jana Twardowskiego w Niebylcu</w:t>
      </w: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835209" w:rsidRPr="00330D72" w:rsidTr="001168A9">
        <w:tc>
          <w:tcPr>
            <w:tcW w:w="3969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6521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969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969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rPr>
          <w:trHeight w:val="551"/>
        </w:trPr>
        <w:tc>
          <w:tcPr>
            <w:tcW w:w="3969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835209" w:rsidRPr="00330D72" w:rsidTr="001168A9">
        <w:tc>
          <w:tcPr>
            <w:tcW w:w="359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3021" w:type="dxa"/>
          </w:tcPr>
          <w:p w:rsidR="00835209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Osoby objęte działaniami </w:t>
            </w: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(właściwe podkreślić)</w:t>
            </w:r>
          </w:p>
        </w:tc>
        <w:tc>
          <w:tcPr>
            <w:tcW w:w="3877" w:type="dxa"/>
          </w:tcPr>
          <w:p w:rsidR="00835209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Zajęcia edukacyjne objęte innowacją </w:t>
            </w: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(właściwe podkreślić)</w:t>
            </w:r>
          </w:p>
        </w:tc>
      </w:tr>
      <w:tr w:rsidR="00835209" w:rsidRPr="00330D72" w:rsidTr="001168A9">
        <w:tc>
          <w:tcPr>
            <w:tcW w:w="3592" w:type="dxa"/>
          </w:tcPr>
          <w:p w:rsidR="00835209" w:rsidRPr="005E2975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programowa,</w:t>
            </w:r>
          </w:p>
          <w:p w:rsidR="00835209" w:rsidRPr="005E2975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organizacyjna,</w:t>
            </w:r>
          </w:p>
          <w:p w:rsidR="00835209" w:rsidRPr="005E2975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metodyczna,</w:t>
            </w:r>
          </w:p>
          <w:p w:rsidR="00835209" w:rsidRPr="005E2975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b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mieszana.</w:t>
            </w:r>
          </w:p>
        </w:tc>
        <w:tc>
          <w:tcPr>
            <w:tcW w:w="3021" w:type="dxa"/>
          </w:tcPr>
          <w:p w:rsidR="00835209" w:rsidRPr="005E2975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jeden oddział lub grupa uczniów, </w:t>
            </w:r>
          </w:p>
          <w:p w:rsidR="00835209" w:rsidRPr="00330D72" w:rsidRDefault="00835209" w:rsidP="00835209">
            <w:pPr>
              <w:pStyle w:val="Akapitzlist"/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więcej oddziałów, </w:t>
            </w:r>
          </w:p>
          <w:p w:rsidR="00835209" w:rsidRPr="005E2975" w:rsidRDefault="00835209" w:rsidP="00835209">
            <w:pPr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>wszystkie oddziały.</w:t>
            </w:r>
          </w:p>
        </w:tc>
        <w:tc>
          <w:tcPr>
            <w:tcW w:w="3877" w:type="dxa"/>
          </w:tcPr>
          <w:p w:rsidR="00835209" w:rsidRPr="00330D72" w:rsidRDefault="00835209" w:rsidP="00835209">
            <w:pPr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wybrane zajęcia edukacyjne, </w:t>
            </w:r>
          </w:p>
          <w:p w:rsidR="00835209" w:rsidRPr="00330D72" w:rsidRDefault="00835209" w:rsidP="00835209">
            <w:pPr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wszystkie zajęcia edukacyjne, </w:t>
            </w:r>
          </w:p>
          <w:p w:rsidR="00835209" w:rsidRPr="00330D72" w:rsidRDefault="00835209" w:rsidP="00835209">
            <w:pPr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jeden przedmiot nauczania, </w:t>
            </w:r>
          </w:p>
          <w:p w:rsidR="00835209" w:rsidRPr="005E2975" w:rsidRDefault="00835209" w:rsidP="00835209">
            <w:pPr>
              <w:numPr>
                <w:ilvl w:val="1"/>
                <w:numId w:val="1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>więcej przedmiotów nauczania.</w:t>
            </w:r>
          </w:p>
        </w:tc>
      </w:tr>
    </w:tbl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835209" w:rsidRPr="00330D72" w:rsidTr="001168A9">
        <w:tc>
          <w:tcPr>
            <w:tcW w:w="10490" w:type="dxa"/>
            <w:gridSpan w:val="2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Opis innowacji</w:t>
            </w: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Cele ogólne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Na czym polega nowatorstwo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Spodziewane efekty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Opis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lastRenderedPageBreak/>
              <w:t>Sposoby ewaluacji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3828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6662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835209" w:rsidRPr="00330D72" w:rsidTr="001168A9">
        <w:tc>
          <w:tcPr>
            <w:tcW w:w="10490" w:type="dxa"/>
            <w:gridSpan w:val="2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Adnotacje Dyrektora Szkoły</w:t>
            </w:r>
          </w:p>
        </w:tc>
      </w:tr>
      <w:tr w:rsidR="00835209" w:rsidRPr="00330D72" w:rsidTr="001168A9">
        <w:tc>
          <w:tcPr>
            <w:tcW w:w="5103" w:type="dxa"/>
          </w:tcPr>
          <w:p w:rsidR="00835209" w:rsidRPr="00330D72" w:rsidRDefault="00835209" w:rsidP="001168A9">
            <w:pPr>
              <w:tabs>
                <w:tab w:val="center" w:pos="2443"/>
              </w:tabs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Data wpływu innowacji pedagogicznej</w:t>
            </w:r>
          </w:p>
        </w:tc>
        <w:tc>
          <w:tcPr>
            <w:tcW w:w="5387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c>
          <w:tcPr>
            <w:tcW w:w="5103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Opinia Rady Pedagogicznej- data, numer uchwały</w:t>
            </w:r>
          </w:p>
        </w:tc>
        <w:tc>
          <w:tcPr>
            <w:tcW w:w="5387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835209" w:rsidRPr="00330D72" w:rsidTr="001168A9">
        <w:trPr>
          <w:trHeight w:val="1527"/>
        </w:trPr>
        <w:tc>
          <w:tcPr>
            <w:tcW w:w="5103" w:type="dxa"/>
          </w:tcPr>
          <w:p w:rsidR="00835209" w:rsidRPr="00330D72" w:rsidRDefault="00835209" w:rsidP="001168A9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Podpis i data Dyrektora szkoły, zatwierdzający realizację innowacji</w:t>
            </w:r>
          </w:p>
        </w:tc>
        <w:tc>
          <w:tcPr>
            <w:tcW w:w="5387" w:type="dxa"/>
          </w:tcPr>
          <w:p w:rsidR="00835209" w:rsidRPr="00330D72" w:rsidRDefault="00835209" w:rsidP="001168A9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330D72" w:rsidRDefault="00835209" w:rsidP="00835209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:rsidR="00835209" w:rsidRPr="00835209" w:rsidRDefault="00835209">
      <w:pPr>
        <w:rPr>
          <w:rFonts w:ascii="Bookman Old Style" w:hAnsi="Bookman Old Style" w:cs="Times New Roman"/>
          <w:b/>
          <w:i/>
          <w:sz w:val="24"/>
          <w:szCs w:val="24"/>
        </w:rPr>
      </w:pPr>
      <w:bookmarkStart w:id="0" w:name="_GoBack"/>
      <w:bookmarkEnd w:id="0"/>
    </w:p>
    <w:sectPr w:rsidR="00835209" w:rsidRPr="0083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75B98"/>
    <w:multiLevelType w:val="hybridMultilevel"/>
    <w:tmpl w:val="365C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56D6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09"/>
    <w:rsid w:val="008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9EB"/>
  <w15:chartTrackingRefBased/>
  <w15:docId w15:val="{7867E105-2390-4D87-8EFF-D036586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Flisiak</dc:creator>
  <cp:keywords/>
  <dc:description/>
  <cp:lastModifiedBy>Iwona Flisiak</cp:lastModifiedBy>
  <cp:revision>1</cp:revision>
  <dcterms:created xsi:type="dcterms:W3CDTF">2019-09-09T11:13:00Z</dcterms:created>
  <dcterms:modified xsi:type="dcterms:W3CDTF">2019-09-09T11:13:00Z</dcterms:modified>
</cp:coreProperties>
</file>